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449" w:rsidRDefault="00BC7449" w:rsidP="00F0668C">
      <w:pPr>
        <w:spacing w:after="0" w:line="276" w:lineRule="auto"/>
        <w:jc w:val="center"/>
        <w:rPr>
          <w:rFonts w:ascii="TH SarabunPSK" w:eastAsia="Calibri" w:hAnsi="TH SarabunPSK" w:cs="TH SarabunPSK"/>
          <w:b/>
          <w:bCs/>
          <w:color w:val="000000"/>
          <w:sz w:val="32"/>
          <w:szCs w:val="32"/>
        </w:rPr>
      </w:pPr>
      <w:r w:rsidRPr="00BC7449">
        <w:rPr>
          <w:rFonts w:ascii="TH SarabunPSK" w:eastAsia="Calibri" w:hAnsi="TH SarabunPSK" w:cs="TH SarabunPSK" w:hint="cs"/>
          <w:b/>
          <w:bCs/>
          <w:color w:val="000000"/>
          <w:sz w:val="32"/>
          <w:szCs w:val="32"/>
          <w:cs/>
        </w:rPr>
        <w:t>รายวิชาโทภาษา</w:t>
      </w:r>
      <w:r w:rsidR="00B32F6D">
        <w:rPr>
          <w:rFonts w:ascii="TH SarabunPSK" w:eastAsia="Calibri" w:hAnsi="TH SarabunPSK" w:cs="TH SarabunPSK" w:hint="cs"/>
          <w:b/>
          <w:bCs/>
          <w:color w:val="000000"/>
          <w:sz w:val="32"/>
          <w:szCs w:val="32"/>
          <w:cs/>
        </w:rPr>
        <w:t>ไทย</w:t>
      </w:r>
    </w:p>
    <w:tbl>
      <w:tblPr>
        <w:tblStyle w:val="TableGrid"/>
        <w:tblW w:w="10773" w:type="dxa"/>
        <w:tblInd w:w="279" w:type="dxa"/>
        <w:tblLook w:val="04A0" w:firstRow="1" w:lastRow="0" w:firstColumn="1" w:lastColumn="0" w:noHBand="0" w:noVBand="1"/>
      </w:tblPr>
      <w:tblGrid>
        <w:gridCol w:w="1100"/>
        <w:gridCol w:w="2538"/>
        <w:gridCol w:w="1148"/>
        <w:gridCol w:w="4428"/>
        <w:gridCol w:w="1559"/>
      </w:tblGrid>
      <w:tr w:rsidR="009408D0" w:rsidRPr="00AB18D9" w:rsidTr="00B32F6D">
        <w:trPr>
          <w:tblHeader/>
        </w:trPr>
        <w:tc>
          <w:tcPr>
            <w:tcW w:w="1100"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รหัสวิชา</w:t>
            </w:r>
          </w:p>
        </w:tc>
        <w:tc>
          <w:tcPr>
            <w:tcW w:w="253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ชื่อรายวิชา</w:t>
            </w:r>
          </w:p>
        </w:tc>
        <w:tc>
          <w:tcPr>
            <w:tcW w:w="114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หน่วยกิต</w:t>
            </w:r>
          </w:p>
        </w:tc>
        <w:tc>
          <w:tcPr>
            <w:tcW w:w="4428"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คำอธิรายรายวิชา</w:t>
            </w:r>
          </w:p>
        </w:tc>
        <w:tc>
          <w:tcPr>
            <w:tcW w:w="1559" w:type="dxa"/>
          </w:tcPr>
          <w:p w:rsidR="00AB18D9" w:rsidRPr="00AB18D9" w:rsidRDefault="00AB18D9" w:rsidP="00AB18D9">
            <w:pPr>
              <w:spacing w:line="276" w:lineRule="auto"/>
              <w:jc w:val="center"/>
              <w:rPr>
                <w:rFonts w:ascii="TH SarabunPSK" w:eastAsia="Calibri" w:hAnsi="TH SarabunPSK" w:cs="TH SarabunPSK"/>
                <w:b/>
                <w:bCs/>
                <w:color w:val="000000"/>
                <w:sz w:val="32"/>
                <w:szCs w:val="32"/>
              </w:rPr>
            </w:pPr>
            <w:r w:rsidRPr="00AB18D9">
              <w:rPr>
                <w:rFonts w:ascii="TH SarabunPSK" w:eastAsia="Calibri" w:hAnsi="TH SarabunPSK" w:cs="TH SarabunPSK" w:hint="cs"/>
                <w:b/>
                <w:bCs/>
                <w:color w:val="000000"/>
                <w:sz w:val="32"/>
                <w:szCs w:val="32"/>
                <w:cs/>
              </w:rPr>
              <w:t>ลำดับรายวิชา</w:t>
            </w:r>
          </w:p>
        </w:tc>
      </w:tr>
      <w:tr w:rsidR="009408D0" w:rsidTr="001217FD">
        <w:tc>
          <w:tcPr>
            <w:tcW w:w="1100" w:type="dxa"/>
          </w:tcPr>
          <w:p w:rsidR="00AB18D9" w:rsidRDefault="00B32F6D" w:rsidP="009A375E">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208</w:t>
            </w:r>
            <w:r w:rsidR="009A375E">
              <w:rPr>
                <w:rFonts w:ascii="TH SarabunPSK" w:eastAsia="Calibri" w:hAnsi="TH SarabunPSK" w:cs="TH SarabunPSK"/>
                <w:color w:val="000000"/>
                <w:sz w:val="32"/>
                <w:szCs w:val="32"/>
              </w:rPr>
              <w:t>101</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การพูดในที่ชุมชน</w:t>
            </w:r>
            <w:r w:rsidRPr="00B32F6D">
              <w:rPr>
                <w:rFonts w:ascii="TH SarabunPSK" w:eastAsia="Calibri" w:hAnsi="TH SarabunPSK" w:cs="TH SarabunPSK"/>
                <w:color w:val="000000"/>
                <w:sz w:val="32"/>
                <w:szCs w:val="32"/>
                <w:cs/>
              </w:rPr>
              <w:tab/>
            </w:r>
          </w:p>
          <w:p w:rsidR="00AB18D9"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Public Speaking</w:t>
            </w:r>
          </w:p>
        </w:tc>
        <w:tc>
          <w:tcPr>
            <w:tcW w:w="1148" w:type="dxa"/>
          </w:tcPr>
          <w:p w:rsidR="00AB18D9" w:rsidRDefault="00AB18D9" w:rsidP="00151CF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 xml:space="preserve">หลักการและรูปแบบในการพูดในที่ชุมชนทั่วไป ทั้งแบบพิธีการและแบบไม่เป็นพิธีการ การเตรียมตัว การพัฒนาบุคลิกภาพ การควบคุมน้ำเสียง การใช้ถ้อยคำสำนวนและ อวัจนภาษาให้เหมาะสม การนำเสนองานอันเป็นประโยชน์ต่อการศึกษา รวมถึงองค์ประกอบที่ส่งผลให้การพูดมีประสิทธิภาพเหมาะสมกับกลุ่มผู้ฟัง </w:t>
            </w:r>
          </w:p>
          <w:p w:rsidR="00AB18D9" w:rsidRPr="009408D0"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History and evolution of Thai literary masterpieces from the Sukhothai to Ratanakosin periods regarding genres, patterns, characteristics of language, contents, writing styles, values of art created language, and reflections on culture and society through a number of masterpieces of Thai literary works in various periods.</w:t>
            </w:r>
          </w:p>
        </w:tc>
        <w:tc>
          <w:tcPr>
            <w:tcW w:w="1559" w:type="dxa"/>
          </w:tcPr>
          <w:p w:rsidR="00AB18D9" w:rsidRDefault="009408D0" w:rsidP="00151CFD">
            <w:pPr>
              <w:spacing w:line="276" w:lineRule="auto"/>
              <w:rPr>
                <w:rFonts w:ascii="TH SarabunPSK" w:eastAsia="Calibri" w:hAnsi="TH SarabunPSK" w:cs="TH SarabunPSK"/>
                <w:color w:val="000000"/>
                <w:sz w:val="32"/>
                <w:szCs w:val="32"/>
                <w:cs/>
              </w:rPr>
            </w:pPr>
            <w:r>
              <w:rPr>
                <w:rFonts w:ascii="TH SarabunPSK" w:eastAsia="Calibri" w:hAnsi="TH SarabunPSK" w:cs="TH SarabunPSK" w:hint="cs"/>
                <w:color w:val="000000"/>
                <w:sz w:val="32"/>
                <w:szCs w:val="32"/>
                <w:cs/>
              </w:rPr>
              <w:t>1</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103</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ศิลปะการเขียน</w:t>
            </w:r>
            <w:r w:rsidRPr="00B32F6D">
              <w:rPr>
                <w:rFonts w:ascii="TH SarabunPSK" w:eastAsia="Calibri" w:hAnsi="TH SarabunPSK" w:cs="TH SarabunPSK"/>
                <w:color w:val="000000"/>
                <w:sz w:val="32"/>
                <w:szCs w:val="32"/>
                <w:cs/>
              </w:rPr>
              <w:tab/>
            </w:r>
          </w:p>
          <w:p w:rsid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 xml:space="preserve">The Art of Creative Writing  </w:t>
            </w:r>
            <w:bookmarkStart w:id="0" w:name="_GoBack"/>
            <w:bookmarkEnd w:id="0"/>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หลักและกลวิธีการเขียน  วิเคราะห์ตัวอย่างงานเขียนในด้านลีลา  เทคนิคและรูปแบบ  และสร้างงานเขียนประเภทต่างๆ  เพื่อเพิ่มทักษะการเขียนอย่างมีประสิทธิภาพ</w:t>
            </w:r>
          </w:p>
          <w:p w:rsidR="00B32F6D" w:rsidRDefault="00B32F6D" w:rsidP="00B32F6D">
            <w:pPr>
              <w:spacing w:line="276" w:lineRule="auto"/>
              <w:rPr>
                <w:rFonts w:ascii="TH SarabunPSK" w:eastAsia="Calibri" w:hAnsi="TH SarabunPSK" w:cs="TH SarabunPSK"/>
                <w:color w:val="000000"/>
                <w:sz w:val="32"/>
                <w:szCs w:val="32"/>
                <w:cs/>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Principles and strategies of Thai writing; analyzing samples of written works in terms of styles, techniques, and patterns; writing different types of works to develop effective writing skills.</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2</w:t>
            </w:r>
          </w:p>
        </w:tc>
      </w:tr>
      <w:tr w:rsidR="00B32F6D" w:rsidTr="001217FD">
        <w:tc>
          <w:tcPr>
            <w:tcW w:w="1100" w:type="dxa"/>
          </w:tcPr>
          <w:p w:rsidR="00B32F6D" w:rsidRPr="00B32F6D" w:rsidRDefault="00B32F6D" w:rsidP="00F81A63">
            <w:pPr>
              <w:rPr>
                <w:rFonts w:ascii="TH SarabunPSK" w:hAnsi="TH SarabunPSK" w:cs="TH SarabunPSK"/>
                <w:sz w:val="32"/>
                <w:szCs w:val="32"/>
              </w:rPr>
            </w:pPr>
            <w:r w:rsidRPr="00B32F6D">
              <w:rPr>
                <w:rFonts w:ascii="TH SarabunPSK" w:hAnsi="TH SarabunPSK" w:cs="TH SarabunPSK"/>
                <w:sz w:val="32"/>
                <w:szCs w:val="32"/>
              </w:rPr>
              <w:t>208</w:t>
            </w:r>
            <w:r w:rsidR="00F81A63">
              <w:rPr>
                <w:rFonts w:ascii="TH SarabunPSK" w:hAnsi="TH SarabunPSK" w:cs="TH SarabunPSK"/>
                <w:sz w:val="32"/>
                <w:szCs w:val="32"/>
              </w:rPr>
              <w:t>25</w:t>
            </w:r>
            <w:r w:rsidR="009A375E">
              <w:rPr>
                <w:rFonts w:ascii="TH SarabunPSK" w:hAnsi="TH SarabunPSK" w:cs="TH SarabunPSK"/>
                <w:sz w:val="32"/>
                <w:szCs w:val="32"/>
              </w:rPr>
              <w:t>4</w:t>
            </w:r>
          </w:p>
        </w:tc>
        <w:tc>
          <w:tcPr>
            <w:tcW w:w="2538" w:type="dxa"/>
          </w:tcPr>
          <w:p w:rsidR="00B32F6D" w:rsidRPr="00B32F6D" w:rsidRDefault="00B32F6D" w:rsidP="00B32F6D">
            <w:pPr>
              <w:spacing w:line="276" w:lineRule="auto"/>
              <w:ind w:right="-108"/>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การอ่านเชิงวิจารณ์</w:t>
            </w:r>
          </w:p>
          <w:p w:rsidR="00B32F6D" w:rsidRDefault="00B32F6D" w:rsidP="00B32F6D">
            <w:pPr>
              <w:spacing w:line="276" w:lineRule="auto"/>
              <w:ind w:right="-108"/>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 xml:space="preserve">Critical Reading  </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หลักการวิจารณ์  การอ่านวรรณคดีและวรรณกรรมประเภทต่างๆ  ในเชิงวิจารณ์ทั้งจากตัวบทและจากบริบท  รวมทั้งการบรรณนิทัศน์  วิเคราะห์  วินิจฉัยสาร  และประเมินค่างานประพันธ์ต่างๆ  ตลอดจนนำเสนอผลงานทั้งในรูปแบบของการพูดและการเขียน</w:t>
            </w:r>
          </w:p>
          <w:p w:rsid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lastRenderedPageBreak/>
              <w:tab/>
            </w:r>
            <w:r w:rsidRPr="00B32F6D">
              <w:rPr>
                <w:rFonts w:ascii="TH SarabunPSK" w:eastAsia="Calibri" w:hAnsi="TH SarabunPSK" w:cs="TH SarabunPSK"/>
                <w:color w:val="000000"/>
                <w:sz w:val="32"/>
                <w:szCs w:val="32"/>
              </w:rPr>
              <w:t>Principles of literary criticism; reading literature and literary works critically in terms of both content and context; reviewing, analyzing, considering, and evaluating  literary  works and delivering the criticism in both oral and written forms.</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3</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365</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ภาษาไทยเพื่อการผลิตสื่อดิจิทัล</w:t>
            </w:r>
            <w:r w:rsidRPr="00B32F6D">
              <w:rPr>
                <w:rFonts w:ascii="TH SarabunPSK" w:eastAsia="Calibri" w:hAnsi="TH SarabunPSK" w:cs="TH SarabunPSK"/>
                <w:color w:val="000000"/>
                <w:sz w:val="32"/>
                <w:szCs w:val="32"/>
                <w:cs/>
              </w:rPr>
              <w:tab/>
            </w:r>
          </w:p>
          <w:p w:rsidR="00B32F6D" w:rsidRPr="00B32F6D" w:rsidRDefault="00B32F6D" w:rsidP="00B32F6D">
            <w:pPr>
              <w:spacing w:line="276" w:lineRule="auto"/>
              <w:rPr>
                <w:rFonts w:ascii="TH SarabunPSK" w:eastAsia="Calibri" w:hAnsi="TH SarabunPSK" w:cs="TH SarabunPSK"/>
                <w:color w:val="000000"/>
                <w:sz w:val="32"/>
                <w:szCs w:val="32"/>
                <w:cs/>
              </w:rPr>
            </w:pPr>
            <w:r w:rsidRPr="00B32F6D">
              <w:rPr>
                <w:rFonts w:ascii="TH SarabunPSK" w:eastAsia="Calibri" w:hAnsi="TH SarabunPSK" w:cs="TH SarabunPSK"/>
                <w:color w:val="000000"/>
                <w:sz w:val="32"/>
                <w:szCs w:val="32"/>
              </w:rPr>
              <w:t>Thai Language for Digital Media Production</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บูรณาการความรู้ ทักษะทางภาษาไทยสร้างสรรค์ผลงานผลิตสื่อดิจิทัล  นําเสนอข้อมูลผ่านเทคโนโลยีสารสนเทศและสื่อสังคมออนไลน์</w:t>
            </w:r>
          </w:p>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Integrating knowledge and skills in Thai language to create digital media productions and presenting information through information technology and social media.</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3</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113</w:t>
            </w:r>
          </w:p>
        </w:tc>
        <w:tc>
          <w:tcPr>
            <w:tcW w:w="2538" w:type="dxa"/>
          </w:tcPr>
          <w:p w:rsidR="00B32F6D" w:rsidRDefault="00B32F6D" w:rsidP="00B32F6D">
            <w:pPr>
              <w:spacing w:line="276" w:lineRule="auto"/>
              <w:rPr>
                <w:rFonts w:ascii="TH SarabunPSK" w:eastAsia="Calibri" w:hAnsi="TH SarabunPSK" w:cs="TH SarabunPSK"/>
                <w:color w:val="000000"/>
                <w:sz w:val="32"/>
                <w:szCs w:val="32"/>
                <w:cs/>
              </w:rPr>
            </w:pPr>
            <w:r w:rsidRPr="00B32F6D">
              <w:rPr>
                <w:rFonts w:ascii="TH SarabunPSK" w:eastAsia="Calibri" w:hAnsi="TH SarabunPSK" w:cs="TH SarabunPSK"/>
                <w:color w:val="000000"/>
                <w:sz w:val="32"/>
                <w:szCs w:val="32"/>
                <w:cs/>
              </w:rPr>
              <w:t>การสรุปความ</w:t>
            </w:r>
            <w:r w:rsidRPr="00B32F6D">
              <w:rPr>
                <w:rFonts w:ascii="TH SarabunPSK" w:eastAsia="Calibri" w:hAnsi="TH SarabunPSK" w:cs="TH SarabunPSK"/>
                <w:color w:val="000000"/>
                <w:sz w:val="32"/>
                <w:szCs w:val="32"/>
                <w:cs/>
              </w:rPr>
              <w:tab/>
            </w:r>
            <w:r w:rsidRPr="00B32F6D">
              <w:rPr>
                <w:rFonts w:ascii="TH SarabunPSK" w:eastAsia="Calibri" w:hAnsi="TH SarabunPSK" w:cs="TH SarabunPSK"/>
                <w:color w:val="000000"/>
                <w:sz w:val="32"/>
                <w:szCs w:val="32"/>
                <w:cs/>
              </w:rPr>
              <w:tab/>
            </w:r>
            <w:r w:rsidRPr="00B32F6D">
              <w:rPr>
                <w:rFonts w:ascii="TH SarabunPSK" w:eastAsia="Calibri" w:hAnsi="TH SarabunPSK" w:cs="TH SarabunPSK"/>
                <w:color w:val="000000"/>
                <w:sz w:val="32"/>
                <w:szCs w:val="32"/>
              </w:rPr>
              <w:t xml:space="preserve">                    Summarization</w:t>
            </w:r>
            <w:r w:rsidRPr="00B32F6D">
              <w:rPr>
                <w:rFonts w:ascii="TH SarabunPSK" w:eastAsia="Calibri" w:hAnsi="TH SarabunPSK" w:cs="TH SarabunPSK"/>
                <w:color w:val="000000"/>
                <w:sz w:val="32"/>
                <w:szCs w:val="32"/>
              </w:rPr>
              <w:tab/>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P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 xml:space="preserve">     สรุปความจากการอ่านและการฟังสารประเภทต่างๆ  ครอบคลุมเนื้อหาสาระที่ทันสมัย  ตลอดจนข้อมูลทางวัฒนธรรมท้องถิ่น โดยเฉพาะอย่างยิ่งในเขตภาคเหนือตอนล่าง     แล้วนำเสนอด้วยการพูดและเขียนที่กระชับ สละสลวยและได้ใจความ</w:t>
            </w:r>
          </w:p>
          <w:p w:rsidR="00B32F6D" w:rsidRDefault="00B32F6D" w:rsidP="00B32F6D">
            <w:pPr>
              <w:tabs>
                <w:tab w:val="left" w:pos="709"/>
                <w:tab w:val="left" w:pos="851"/>
                <w:tab w:val="left" w:pos="1559"/>
                <w:tab w:val="left" w:pos="2126"/>
                <w:tab w:val="left" w:pos="7229"/>
                <w:tab w:val="left" w:pos="7729"/>
              </w:tabs>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 xml:space="preserve">     </w:t>
            </w:r>
            <w:r w:rsidRPr="00B32F6D">
              <w:rPr>
                <w:rFonts w:ascii="TH SarabunPSK" w:eastAsia="Calibri" w:hAnsi="TH SarabunPSK" w:cs="TH SarabunPSK"/>
                <w:color w:val="000000"/>
                <w:sz w:val="32"/>
                <w:szCs w:val="32"/>
              </w:rPr>
              <w:t>Summarizing different texts from reading and listening which contain modern knowledge and knowledge about local culture, especially in the lower north of Thailand; presenting the summary both in oral and written forms by using succinct, properly-stylized, and informative language.</w:t>
            </w:r>
            <w:r w:rsidRPr="00B32F6D">
              <w:rPr>
                <w:rFonts w:ascii="TH SarabunPSK" w:eastAsia="Calibri" w:hAnsi="TH SarabunPSK" w:cs="TH SarabunPSK"/>
                <w:color w:val="000000"/>
                <w:sz w:val="32"/>
                <w:szCs w:val="32"/>
              </w:rPr>
              <w:tab/>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t>4</w:t>
            </w:r>
          </w:p>
        </w:tc>
      </w:tr>
      <w:tr w:rsidR="00B32F6D" w:rsidTr="001217FD">
        <w:tc>
          <w:tcPr>
            <w:tcW w:w="1100" w:type="dxa"/>
          </w:tcPr>
          <w:p w:rsidR="00B32F6D" w:rsidRPr="00B32F6D" w:rsidRDefault="00B32F6D" w:rsidP="009A375E">
            <w:pPr>
              <w:rPr>
                <w:rFonts w:ascii="TH SarabunPSK" w:hAnsi="TH SarabunPSK" w:cs="TH SarabunPSK"/>
                <w:sz w:val="32"/>
                <w:szCs w:val="32"/>
              </w:rPr>
            </w:pPr>
            <w:r w:rsidRPr="00B32F6D">
              <w:rPr>
                <w:rFonts w:ascii="TH SarabunPSK" w:hAnsi="TH SarabunPSK" w:cs="TH SarabunPSK"/>
                <w:sz w:val="32"/>
                <w:szCs w:val="32"/>
              </w:rPr>
              <w:t>208</w:t>
            </w:r>
            <w:r w:rsidR="009A375E">
              <w:rPr>
                <w:rFonts w:ascii="TH SarabunPSK" w:hAnsi="TH SarabunPSK" w:cs="TH SarabunPSK"/>
                <w:sz w:val="32"/>
                <w:szCs w:val="32"/>
              </w:rPr>
              <w:t>451</w:t>
            </w:r>
          </w:p>
        </w:tc>
        <w:tc>
          <w:tcPr>
            <w:tcW w:w="2538" w:type="dxa"/>
          </w:tcPr>
          <w:p w:rsidR="00B32F6D" w:rsidRP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cs/>
              </w:rPr>
              <w:t>ภาษาไทยสำหรับชาวต่างประเทศ</w:t>
            </w:r>
            <w:r w:rsidRPr="00B32F6D">
              <w:rPr>
                <w:rFonts w:ascii="TH SarabunPSK" w:eastAsia="Calibri" w:hAnsi="TH SarabunPSK" w:cs="TH SarabunPSK"/>
                <w:color w:val="000000"/>
                <w:sz w:val="32"/>
                <w:szCs w:val="32"/>
                <w:cs/>
              </w:rPr>
              <w:tab/>
              <w:t xml:space="preserve"> </w:t>
            </w:r>
            <w:r w:rsidRPr="00B32F6D">
              <w:rPr>
                <w:rFonts w:ascii="TH SarabunPSK" w:eastAsia="Calibri" w:hAnsi="TH SarabunPSK" w:cs="TH SarabunPSK"/>
                <w:color w:val="000000"/>
                <w:sz w:val="32"/>
                <w:szCs w:val="32"/>
                <w:cs/>
              </w:rPr>
              <w:tab/>
            </w:r>
          </w:p>
          <w:p w:rsidR="00B32F6D" w:rsidRDefault="00B32F6D" w:rsidP="00B32F6D">
            <w:pPr>
              <w:spacing w:line="276" w:lineRule="auto"/>
              <w:rPr>
                <w:rFonts w:ascii="TH SarabunPSK" w:eastAsia="Calibri" w:hAnsi="TH SarabunPSK" w:cs="TH SarabunPSK"/>
                <w:color w:val="000000"/>
                <w:sz w:val="32"/>
                <w:szCs w:val="32"/>
              </w:rPr>
            </w:pPr>
            <w:r w:rsidRPr="00B32F6D">
              <w:rPr>
                <w:rFonts w:ascii="TH SarabunPSK" w:eastAsia="Calibri" w:hAnsi="TH SarabunPSK" w:cs="TH SarabunPSK"/>
                <w:color w:val="000000"/>
                <w:sz w:val="32"/>
                <w:szCs w:val="32"/>
              </w:rPr>
              <w:t>Thai as a Foreign Language</w:t>
            </w:r>
          </w:p>
        </w:tc>
        <w:tc>
          <w:tcPr>
            <w:tcW w:w="1148" w:type="dxa"/>
          </w:tcPr>
          <w:p w:rsidR="00B32F6D" w:rsidRDefault="00B32F6D" w:rsidP="00B32F6D">
            <w:pPr>
              <w:spacing w:line="276" w:lineRule="auto"/>
              <w:rPr>
                <w:rFonts w:ascii="TH SarabunPSK" w:eastAsia="Calibri" w:hAnsi="TH SarabunPSK" w:cs="TH SarabunPSK"/>
                <w:color w:val="000000"/>
                <w:sz w:val="32"/>
                <w:szCs w:val="32"/>
              </w:rPr>
            </w:pPr>
            <w:r w:rsidRPr="00AB18D9">
              <w:rPr>
                <w:rFonts w:ascii="TH SarabunPSK" w:eastAsia="Calibri" w:hAnsi="TH SarabunPSK" w:cs="TH SarabunPSK"/>
                <w:color w:val="000000"/>
                <w:sz w:val="32"/>
                <w:szCs w:val="32"/>
              </w:rPr>
              <w:t>3(2-2-5)</w:t>
            </w:r>
          </w:p>
        </w:tc>
        <w:tc>
          <w:tcPr>
            <w:tcW w:w="4428" w:type="dxa"/>
          </w:tcPr>
          <w:p w:rsidR="00B32F6D" w:rsidRDefault="00B32F6D" w:rsidP="00B32F6D">
            <w:pPr>
              <w:tabs>
                <w:tab w:val="left" w:pos="709"/>
                <w:tab w:val="left" w:pos="851"/>
                <w:tab w:val="left" w:pos="1559"/>
                <w:tab w:val="left" w:pos="2126"/>
                <w:tab w:val="left" w:pos="7229"/>
                <w:tab w:val="left" w:pos="7729"/>
              </w:tabs>
              <w:spacing w:line="276" w:lineRule="auto"/>
              <w:ind w:right="-169"/>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cs/>
              </w:rPr>
              <w:t>แนวทางการสอนและปัญหาในการสอนภาษาไทยแก่ชาวต่างประเทศ  โดยเน้นวิธีการสอนระบบเสียง  ระบบคำ  และระบบวากยสัมพันธ์ด้วยกลวิธีทางภาษาศาสตร์  รวมถึงวิธีการเสริมสร้างทักษะทาง</w:t>
            </w:r>
            <w:r w:rsidRPr="00B32F6D">
              <w:rPr>
                <w:rFonts w:ascii="TH SarabunPSK" w:eastAsia="Calibri" w:hAnsi="TH SarabunPSK" w:cs="TH SarabunPSK"/>
                <w:color w:val="000000"/>
                <w:sz w:val="32"/>
                <w:szCs w:val="32"/>
                <w:cs/>
              </w:rPr>
              <w:lastRenderedPageBreak/>
              <w:t>ภาษา  วัฒนธรรมการใช้ภาษาและการปฏิบัติการสอน</w:t>
            </w:r>
          </w:p>
          <w:p w:rsidR="00B32F6D" w:rsidRPr="00B32F6D" w:rsidRDefault="00B32F6D" w:rsidP="00B32F6D">
            <w:pPr>
              <w:tabs>
                <w:tab w:val="left" w:pos="709"/>
                <w:tab w:val="left" w:pos="851"/>
                <w:tab w:val="left" w:pos="1559"/>
                <w:tab w:val="left" w:pos="2126"/>
                <w:tab w:val="left" w:pos="7229"/>
                <w:tab w:val="left" w:pos="7729"/>
              </w:tabs>
              <w:spacing w:line="276" w:lineRule="auto"/>
              <w:ind w:right="-169"/>
              <w:rPr>
                <w:rFonts w:ascii="TH SarabunPSK" w:eastAsia="Calibri" w:hAnsi="TH SarabunPSK" w:cs="TH SarabunPSK"/>
                <w:color w:val="000000"/>
                <w:sz w:val="32"/>
                <w:szCs w:val="32"/>
              </w:rPr>
            </w:pPr>
            <w:r>
              <w:rPr>
                <w:rFonts w:ascii="TH SarabunPSK" w:eastAsia="Calibri" w:hAnsi="TH SarabunPSK" w:cs="TH SarabunPSK" w:hint="cs"/>
                <w:color w:val="000000"/>
                <w:sz w:val="32"/>
                <w:szCs w:val="32"/>
                <w:cs/>
              </w:rPr>
              <w:t xml:space="preserve">    </w:t>
            </w:r>
            <w:r w:rsidRPr="00B32F6D">
              <w:rPr>
                <w:rFonts w:ascii="TH SarabunPSK" w:eastAsia="Calibri" w:hAnsi="TH SarabunPSK" w:cs="TH SarabunPSK"/>
                <w:color w:val="000000"/>
                <w:sz w:val="32"/>
                <w:szCs w:val="32"/>
              </w:rPr>
              <w:t xml:space="preserve">Teaching methods and problems in teaching Thai language to foreigners focusing on the teaching of phonology, morphology, and syntax through linguistic techniques; approaches in improving language skills, language culture, and language teaching in practice.  </w:t>
            </w:r>
          </w:p>
        </w:tc>
        <w:tc>
          <w:tcPr>
            <w:tcW w:w="1559" w:type="dxa"/>
          </w:tcPr>
          <w:p w:rsidR="00B32F6D" w:rsidRDefault="00B32F6D" w:rsidP="00B32F6D">
            <w:pPr>
              <w:spacing w:line="276" w:lineRule="auto"/>
              <w:rPr>
                <w:rFonts w:ascii="TH SarabunPSK" w:eastAsia="Calibri" w:hAnsi="TH SarabunPSK" w:cs="TH SarabunPSK"/>
                <w:color w:val="000000"/>
                <w:sz w:val="32"/>
                <w:szCs w:val="32"/>
              </w:rPr>
            </w:pPr>
            <w:r>
              <w:rPr>
                <w:rFonts w:ascii="TH SarabunPSK" w:eastAsia="Calibri" w:hAnsi="TH SarabunPSK" w:cs="TH SarabunPSK"/>
                <w:color w:val="000000"/>
                <w:sz w:val="32"/>
                <w:szCs w:val="32"/>
              </w:rPr>
              <w:lastRenderedPageBreak/>
              <w:t>4</w:t>
            </w:r>
          </w:p>
        </w:tc>
      </w:tr>
    </w:tbl>
    <w:p w:rsidR="00AB18D9" w:rsidRPr="00AB18D9" w:rsidRDefault="00AB18D9" w:rsidP="00151CFD">
      <w:pPr>
        <w:spacing w:after="0" w:line="276" w:lineRule="auto"/>
        <w:ind w:left="720" w:firstLine="720"/>
        <w:rPr>
          <w:rFonts w:ascii="TH SarabunPSK" w:eastAsia="Calibri" w:hAnsi="TH SarabunPSK" w:cs="TH SarabunPSK"/>
          <w:color w:val="000000"/>
          <w:sz w:val="32"/>
          <w:szCs w:val="32"/>
        </w:rPr>
      </w:pPr>
    </w:p>
    <w:sectPr w:rsidR="00AB18D9" w:rsidRPr="00AB18D9" w:rsidSect="009408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63D" w:rsidRDefault="007E763D" w:rsidP="009408D0">
      <w:pPr>
        <w:spacing w:after="0" w:line="240" w:lineRule="auto"/>
      </w:pPr>
      <w:r>
        <w:separator/>
      </w:r>
    </w:p>
  </w:endnote>
  <w:endnote w:type="continuationSeparator" w:id="0">
    <w:p w:rsidR="007E763D" w:rsidRDefault="007E763D" w:rsidP="0094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altName w:val="Arial Unicode MS"/>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63D" w:rsidRDefault="007E763D" w:rsidP="009408D0">
      <w:pPr>
        <w:spacing w:after="0" w:line="240" w:lineRule="auto"/>
      </w:pPr>
      <w:r>
        <w:separator/>
      </w:r>
    </w:p>
  </w:footnote>
  <w:footnote w:type="continuationSeparator" w:id="0">
    <w:p w:rsidR="007E763D" w:rsidRDefault="007E763D" w:rsidP="00940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49"/>
    <w:rsid w:val="00021894"/>
    <w:rsid w:val="000A0873"/>
    <w:rsid w:val="001217FD"/>
    <w:rsid w:val="00151CFD"/>
    <w:rsid w:val="00162406"/>
    <w:rsid w:val="001C723F"/>
    <w:rsid w:val="001E077F"/>
    <w:rsid w:val="001F56F6"/>
    <w:rsid w:val="00262ACF"/>
    <w:rsid w:val="002A0CD7"/>
    <w:rsid w:val="00404924"/>
    <w:rsid w:val="004C3F8D"/>
    <w:rsid w:val="00592947"/>
    <w:rsid w:val="00665E15"/>
    <w:rsid w:val="006A150B"/>
    <w:rsid w:val="006E44B4"/>
    <w:rsid w:val="007214C9"/>
    <w:rsid w:val="00743C4F"/>
    <w:rsid w:val="007E763D"/>
    <w:rsid w:val="007F55F5"/>
    <w:rsid w:val="0089458F"/>
    <w:rsid w:val="009408D0"/>
    <w:rsid w:val="009A375E"/>
    <w:rsid w:val="00A076F2"/>
    <w:rsid w:val="00A270E9"/>
    <w:rsid w:val="00AB18D9"/>
    <w:rsid w:val="00AC5729"/>
    <w:rsid w:val="00B32F6D"/>
    <w:rsid w:val="00BC7449"/>
    <w:rsid w:val="00D432BD"/>
    <w:rsid w:val="00E018FE"/>
    <w:rsid w:val="00E66977"/>
    <w:rsid w:val="00F0668C"/>
    <w:rsid w:val="00F81A63"/>
    <w:rsid w:val="00F86AEC"/>
    <w:rsid w:val="00FC14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18692-725B-4961-8A7B-4DA36EE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2B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D432BD"/>
    <w:rPr>
      <w:rFonts w:ascii="Segoe UI" w:hAnsi="Segoe UI" w:cs="Angsana New"/>
      <w:sz w:val="18"/>
      <w:szCs w:val="22"/>
    </w:rPr>
  </w:style>
  <w:style w:type="table" w:styleId="TableGrid">
    <w:name w:val="Table Grid"/>
    <w:basedOn w:val="TableNormal"/>
    <w:uiPriority w:val="39"/>
    <w:rsid w:val="00AB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D0"/>
  </w:style>
  <w:style w:type="paragraph" w:styleId="Footer">
    <w:name w:val="footer"/>
    <w:basedOn w:val="Normal"/>
    <w:link w:val="FooterChar"/>
    <w:uiPriority w:val="99"/>
    <w:unhideWhenUsed/>
    <w:rsid w:val="00940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6D66-C053-4008-B859-41470727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Sunantha Thetsuk</dc:creator>
  <cp:keywords/>
  <dc:description/>
  <cp:lastModifiedBy>supaporn sompakdee</cp:lastModifiedBy>
  <cp:revision>3</cp:revision>
  <cp:lastPrinted>2017-06-07T07:15:00Z</cp:lastPrinted>
  <dcterms:created xsi:type="dcterms:W3CDTF">2022-09-07T09:52:00Z</dcterms:created>
  <dcterms:modified xsi:type="dcterms:W3CDTF">2022-09-07T09:52:00Z</dcterms:modified>
</cp:coreProperties>
</file>