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Pr="00BC7449" w:rsidRDefault="00BC7449" w:rsidP="00F0668C">
      <w:pPr>
        <w:spacing w:after="0" w:line="276" w:lineRule="auto"/>
        <w:jc w:val="center"/>
        <w:rPr>
          <w:rFonts w:ascii="TH SarabunPSK" w:eastAsia="Calibri" w:hAnsi="TH SarabunPSK" w:cs="TH SarabunPSK"/>
          <w:b/>
          <w:bCs/>
          <w:color w:val="000000"/>
          <w:sz w:val="32"/>
          <w:szCs w:val="32"/>
          <w:cs/>
        </w:rPr>
      </w:pPr>
      <w:r w:rsidRPr="00BC7449">
        <w:rPr>
          <w:rFonts w:ascii="TH SarabunPSK" w:eastAsia="Calibri" w:hAnsi="TH SarabunPSK" w:cs="TH SarabunPSK" w:hint="cs"/>
          <w:b/>
          <w:bCs/>
          <w:color w:val="000000"/>
          <w:sz w:val="32"/>
          <w:szCs w:val="32"/>
          <w:cs/>
        </w:rPr>
        <w:t>รายวิชาโทภาษาพม่า</w:t>
      </w:r>
    </w:p>
    <w:tbl>
      <w:tblPr>
        <w:tblStyle w:val="TableGrid"/>
        <w:tblW w:w="10860" w:type="dxa"/>
        <w:tblInd w:w="279" w:type="dxa"/>
        <w:tblLook w:val="04A0" w:firstRow="1" w:lastRow="0" w:firstColumn="1" w:lastColumn="0" w:noHBand="0" w:noVBand="1"/>
      </w:tblPr>
      <w:tblGrid>
        <w:gridCol w:w="1100"/>
        <w:gridCol w:w="2538"/>
        <w:gridCol w:w="1148"/>
        <w:gridCol w:w="4367"/>
        <w:gridCol w:w="1707"/>
      </w:tblGrid>
      <w:tr w:rsidR="009408D0" w:rsidRPr="00AB18D9" w:rsidTr="005E6972">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53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367"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707"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9408D0">
        <w:tc>
          <w:tcPr>
            <w:tcW w:w="1100"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cs/>
              </w:rPr>
              <w:t>218101</w:t>
            </w:r>
          </w:p>
        </w:tc>
        <w:tc>
          <w:tcPr>
            <w:tcW w:w="2538" w:type="dxa"/>
          </w:tcPr>
          <w:p w:rsidR="009408D0"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cs/>
              </w:rPr>
              <w:t xml:space="preserve">ภาษาพม่า </w:t>
            </w:r>
            <w:r w:rsidRPr="00AB18D9">
              <w:rPr>
                <w:rFonts w:ascii="TH SarabunPSK" w:eastAsia="Calibri" w:hAnsi="TH SarabunPSK" w:cs="TH SarabunPSK"/>
                <w:color w:val="000000"/>
                <w:sz w:val="32"/>
                <w:szCs w:val="32"/>
              </w:rPr>
              <w:t xml:space="preserve">1 </w:t>
            </w:r>
            <w:r w:rsidRPr="00AB18D9">
              <w:rPr>
                <w:rFonts w:ascii="TH SarabunPSK" w:eastAsia="Calibri" w:hAnsi="TH SarabunPSK" w:cs="TH SarabunPSK"/>
                <w:color w:val="000000"/>
                <w:sz w:val="32"/>
                <w:szCs w:val="32"/>
              </w:rPr>
              <w:tab/>
              <w:t xml:space="preserve">   </w:t>
            </w:r>
          </w:p>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Myanmar I</w:t>
            </w: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9408D0" w:rsidRPr="00262ACF" w:rsidRDefault="009408D0" w:rsidP="009408D0">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lang w:val="x-none" w:eastAsia="x-none"/>
              </w:rPr>
            </w:pPr>
            <w:r>
              <w:rPr>
                <w:rFonts w:ascii="TH SarabunPSK" w:eastAsia="Calibri" w:hAnsi="TH SarabunPSK" w:cs="TH SarabunPSK"/>
                <w:color w:val="000000"/>
                <w:sz w:val="32"/>
                <w:szCs w:val="32"/>
                <w:lang w:eastAsia="x-none"/>
              </w:rPr>
              <w:t xml:space="preserve">     </w:t>
            </w:r>
            <w:r w:rsidRPr="00262ACF">
              <w:rPr>
                <w:rFonts w:ascii="TH SarabunPSK" w:eastAsia="Calibri" w:hAnsi="TH SarabunPSK" w:cs="TH SarabunPSK"/>
                <w:color w:val="000000"/>
                <w:sz w:val="32"/>
                <w:szCs w:val="32"/>
                <w:cs/>
                <w:lang w:val="x-none" w:eastAsia="x-none"/>
              </w:rPr>
              <w:t>ระบบอักษรพม่า โดยสัมพันธ์กับระบบเสียง</w:t>
            </w:r>
            <w:r w:rsidRPr="00262ACF">
              <w:rPr>
                <w:rFonts w:ascii="TH SarabunPSK" w:eastAsia="Calibri" w:hAnsi="TH SarabunPSK" w:cs="TH SarabunPSK"/>
                <w:color w:val="000000"/>
                <w:sz w:val="32"/>
                <w:szCs w:val="32"/>
                <w:lang w:val="x-none" w:eastAsia="x-none"/>
              </w:rPr>
              <w:t xml:space="preserve"> </w:t>
            </w:r>
            <w:r w:rsidRPr="00262ACF">
              <w:rPr>
                <w:rFonts w:ascii="TH SarabunPSK" w:eastAsia="Calibri" w:hAnsi="TH SarabunPSK" w:cs="TH SarabunPSK"/>
                <w:color w:val="000000"/>
                <w:sz w:val="32"/>
                <w:szCs w:val="32"/>
                <w:cs/>
                <w:lang w:val="x-none" w:eastAsia="x-none"/>
              </w:rPr>
              <w:t xml:space="preserve">เรียนรู้โครงสร้างประโยคพื้นฐาน คำศัพท์พื้นฐาน และคำแสดงวิภัตติปัจจัยที่สำคัญ ฝึกทักษะการฟัง พูด อ่าน และเขียน ให้สามารถสื่อสารภาษาพม่าได้ในระดับเบื้องต้น </w:t>
            </w:r>
          </w:p>
          <w:p w:rsidR="00AB18D9" w:rsidRPr="009408D0" w:rsidRDefault="009408D0" w:rsidP="009408D0">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lang w:val="x-none" w:eastAsia="x-none"/>
              </w:rPr>
              <w:t xml:space="preserve">     </w:t>
            </w:r>
            <w:r w:rsidRPr="00262ACF">
              <w:rPr>
                <w:rFonts w:ascii="TH SarabunPSK" w:eastAsia="Calibri" w:hAnsi="TH SarabunPSK" w:cs="TH SarabunPSK"/>
                <w:color w:val="000000"/>
                <w:sz w:val="32"/>
                <w:szCs w:val="32"/>
                <w:lang w:val="x-none" w:eastAsia="x-none"/>
              </w:rPr>
              <w:t xml:space="preserve">Myanmar alphabetical systems in relation to its phonological system. </w:t>
            </w:r>
            <w:r>
              <w:rPr>
                <w:rFonts w:ascii="TH SarabunPSK" w:eastAsia="Calibri" w:hAnsi="TH SarabunPSK" w:cs="TH SarabunPSK"/>
                <w:color w:val="000000"/>
                <w:sz w:val="32"/>
                <w:szCs w:val="32"/>
                <w:lang w:eastAsia="x-none"/>
              </w:rPr>
              <w:t xml:space="preserve">Study of </w:t>
            </w:r>
            <w:r w:rsidRPr="00262ACF">
              <w:rPr>
                <w:rFonts w:ascii="TH SarabunPSK" w:eastAsia="Calibri" w:hAnsi="TH SarabunPSK" w:cs="TH SarabunPSK"/>
                <w:color w:val="000000"/>
                <w:sz w:val="32"/>
                <w:szCs w:val="32"/>
                <w:lang w:val="x-none" w:eastAsia="x-none"/>
              </w:rPr>
              <w:t xml:space="preserve">basic sentence structures, basic vocabulary and essential affixation. Practice </w:t>
            </w:r>
            <w:r>
              <w:rPr>
                <w:rFonts w:ascii="TH SarabunPSK" w:eastAsia="Calibri" w:hAnsi="TH SarabunPSK" w:cs="TH SarabunPSK"/>
                <w:color w:val="000000"/>
                <w:sz w:val="32"/>
                <w:szCs w:val="32"/>
                <w:lang w:eastAsia="x-none"/>
              </w:rPr>
              <w:t xml:space="preserve">of </w:t>
            </w:r>
            <w:r w:rsidRPr="00262ACF">
              <w:rPr>
                <w:rFonts w:ascii="TH SarabunPSK" w:eastAsia="Calibri" w:hAnsi="TH SarabunPSK" w:cs="TH SarabunPSK"/>
                <w:color w:val="000000"/>
                <w:sz w:val="32"/>
                <w:szCs w:val="32"/>
                <w:lang w:val="x-none" w:eastAsia="x-none"/>
              </w:rPr>
              <w:t>listening,</w:t>
            </w:r>
            <w:r>
              <w:rPr>
                <w:rFonts w:ascii="TH SarabunPSK" w:eastAsia="Calibri" w:hAnsi="TH SarabunPSK" w:cs="TH SarabunPSK" w:hint="cs"/>
                <w:color w:val="000000"/>
                <w:sz w:val="32"/>
                <w:szCs w:val="32"/>
                <w:cs/>
                <w:lang w:val="x-none" w:eastAsia="x-none"/>
              </w:rPr>
              <w:t xml:space="preserve"> </w:t>
            </w:r>
            <w:r w:rsidRPr="00262ACF">
              <w:rPr>
                <w:rFonts w:ascii="TH SarabunPSK" w:eastAsia="Calibri" w:hAnsi="TH SarabunPSK" w:cs="TH SarabunPSK"/>
                <w:color w:val="000000"/>
                <w:sz w:val="32"/>
                <w:szCs w:val="32"/>
                <w:lang w:val="x-none" w:eastAsia="x-none"/>
              </w:rPr>
              <w:t>speaking, reading, and writing skills in order to communicate in Myanmar language at a fundamental level</w:t>
            </w:r>
            <w:r>
              <w:rPr>
                <w:rFonts w:ascii="TH SarabunPSK" w:eastAsia="Calibri" w:hAnsi="TH SarabunPSK" w:cs="TH SarabunPSK"/>
                <w:color w:val="000000"/>
                <w:sz w:val="32"/>
                <w:szCs w:val="32"/>
                <w:lang w:eastAsia="x-none"/>
              </w:rPr>
              <w:t>.</w:t>
            </w:r>
          </w:p>
        </w:tc>
        <w:tc>
          <w:tcPr>
            <w:tcW w:w="1707" w:type="dxa"/>
          </w:tcPr>
          <w:p w:rsidR="00AB18D9" w:rsidRDefault="009408D0" w:rsidP="00151C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1</w:t>
            </w:r>
          </w:p>
        </w:tc>
      </w:tr>
      <w:tr w:rsidR="009408D0" w:rsidTr="009408D0">
        <w:tc>
          <w:tcPr>
            <w:tcW w:w="1100"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21810</w:t>
            </w:r>
            <w:r>
              <w:rPr>
                <w:rFonts w:ascii="TH SarabunPSK" w:eastAsia="Calibri" w:hAnsi="TH SarabunPSK" w:cs="TH SarabunPSK" w:hint="cs"/>
                <w:color w:val="000000"/>
                <w:sz w:val="32"/>
                <w:szCs w:val="32"/>
                <w:cs/>
              </w:rPr>
              <w:t>2</w:t>
            </w:r>
          </w:p>
        </w:tc>
        <w:tc>
          <w:tcPr>
            <w:tcW w:w="253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cs/>
              </w:rPr>
              <w:t xml:space="preserve">ภาษาพม่า </w:t>
            </w:r>
            <w:r w:rsidR="009408D0">
              <w:rPr>
                <w:rFonts w:ascii="TH SarabunPSK" w:eastAsia="Calibri" w:hAnsi="TH SarabunPSK" w:cs="TH SarabunPSK"/>
                <w:color w:val="000000"/>
                <w:sz w:val="32"/>
                <w:szCs w:val="32"/>
              </w:rPr>
              <w:t>2</w:t>
            </w:r>
            <w:r w:rsidRPr="00AB18D9">
              <w:rPr>
                <w:rFonts w:ascii="TH SarabunPSK" w:eastAsia="Calibri" w:hAnsi="TH SarabunPSK" w:cs="TH SarabunPSK"/>
                <w:color w:val="000000"/>
                <w:sz w:val="32"/>
                <w:szCs w:val="32"/>
              </w:rPr>
              <w:t xml:space="preserve"> </w:t>
            </w:r>
            <w:r w:rsidRPr="00AB18D9">
              <w:rPr>
                <w:rFonts w:ascii="TH SarabunPSK" w:eastAsia="Calibri" w:hAnsi="TH SarabunPSK" w:cs="TH SarabunPSK"/>
                <w:color w:val="000000"/>
                <w:sz w:val="32"/>
                <w:szCs w:val="32"/>
              </w:rPr>
              <w:tab/>
              <w:t xml:space="preserve">   Myanmar I</w:t>
            </w:r>
            <w:r w:rsidR="009408D0">
              <w:rPr>
                <w:rFonts w:ascii="TH SarabunPSK" w:eastAsia="Calibri" w:hAnsi="TH SarabunPSK" w:cs="TH SarabunPSK"/>
                <w:color w:val="000000"/>
                <w:sz w:val="32"/>
                <w:szCs w:val="32"/>
              </w:rPr>
              <w:t>I</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9408D0" w:rsidRPr="009408D0" w:rsidRDefault="009408D0" w:rsidP="009408D0">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9408D0">
              <w:rPr>
                <w:rFonts w:ascii="TH SarabunPSK" w:eastAsia="Calibri" w:hAnsi="TH SarabunPSK" w:cs="TH SarabunPSK"/>
                <w:color w:val="000000"/>
                <w:sz w:val="32"/>
                <w:szCs w:val="32"/>
                <w:cs/>
              </w:rPr>
              <w:t>โครงสร้างประโยคที่ซับซ้อนขึ้นจำแนกความแตกต่างระหว่างภาษาพูดและภาษาเขียน โดยเฉพาะการใช้วิภัตติปัจจัยที่ซับซ้อน ฝึกทักษะการฟัง พูด อ่าน และเขียน ในรูปของความเรียงขนาดกลาง</w:t>
            </w:r>
          </w:p>
          <w:p w:rsidR="00AB18D9" w:rsidRDefault="009408D0" w:rsidP="009408D0">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9408D0">
              <w:rPr>
                <w:rFonts w:ascii="TH SarabunPSK" w:eastAsia="Calibri" w:hAnsi="TH SarabunPSK" w:cs="TH SarabunPSK"/>
                <w:color w:val="000000"/>
                <w:sz w:val="32"/>
                <w:szCs w:val="32"/>
              </w:rPr>
              <w:t>Complex structures of Myanmar language. Learn to distinguish differences between spoken and written forms with an emphasis on the usage of complex affixation. Practice of listening, speaking, reading, and writing skills through given medium-length texts.</w:t>
            </w:r>
          </w:p>
        </w:tc>
        <w:tc>
          <w:tcPr>
            <w:tcW w:w="1707"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9408D0" w:rsidTr="009408D0">
        <w:tc>
          <w:tcPr>
            <w:tcW w:w="1100" w:type="dxa"/>
          </w:tcPr>
          <w:p w:rsidR="00AB18D9" w:rsidRDefault="00AB18D9"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218131</w:t>
            </w:r>
          </w:p>
        </w:tc>
        <w:tc>
          <w:tcPr>
            <w:tcW w:w="253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cs/>
              </w:rPr>
              <w:t xml:space="preserve">การสนทนาภาษาพม่า </w:t>
            </w:r>
            <w:r w:rsidRPr="00AB18D9">
              <w:rPr>
                <w:rFonts w:ascii="TH SarabunPSK" w:eastAsia="Calibri" w:hAnsi="TH SarabunPSK" w:cs="TH SarabunPSK"/>
                <w:color w:val="000000"/>
                <w:sz w:val="32"/>
                <w:szCs w:val="32"/>
              </w:rPr>
              <w:t>1</w:t>
            </w:r>
          </w:p>
          <w:p w:rsidR="00AB18D9" w:rsidRDefault="00AB18D9" w:rsidP="009408D0">
            <w:pPr>
              <w:spacing w:line="276" w:lineRule="auto"/>
              <w:ind w:right="-108"/>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Myanmar Conversation I</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9408D0" w:rsidRPr="00262ACF" w:rsidRDefault="009408D0" w:rsidP="009408D0">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262ACF">
              <w:rPr>
                <w:rFonts w:ascii="TH SarabunPSK" w:eastAsia="Calibri" w:hAnsi="TH SarabunPSK" w:cs="TH SarabunPSK"/>
                <w:color w:val="000000"/>
                <w:sz w:val="32"/>
                <w:szCs w:val="32"/>
                <w:cs/>
              </w:rPr>
              <w:t xml:space="preserve">การสนทนาภาษาพม่า  โดยเน้นรูปประโยค  และศัพท์สำนวนที่ใช้ในชีวิตประจำวัน </w:t>
            </w:r>
            <w:r>
              <w:rPr>
                <w:rFonts w:ascii="TH SarabunPSK" w:eastAsia="Calibri" w:hAnsi="TH SarabunPSK" w:cs="TH SarabunPSK"/>
                <w:color w:val="000000"/>
                <w:sz w:val="32"/>
                <w:szCs w:val="32"/>
                <w:cs/>
              </w:rPr>
              <w:br/>
            </w:r>
            <w:r w:rsidRPr="00262ACF">
              <w:rPr>
                <w:rFonts w:ascii="TH SarabunPSK" w:eastAsia="Calibri" w:hAnsi="TH SarabunPSK" w:cs="TH SarabunPSK"/>
                <w:color w:val="000000"/>
                <w:sz w:val="32"/>
                <w:szCs w:val="32"/>
                <w:cs/>
              </w:rPr>
              <w:t>การแลกเปลี่ยนข้อมูลข่าวสาร การแสดงความคิดเห็นอย่างง่าย ๆ พร้อมกับการเรียนรู้สังคมและวัฒนธรรมพม่าในแง่มุมต่าง ๆ</w:t>
            </w:r>
          </w:p>
          <w:p w:rsidR="00AB18D9" w:rsidRDefault="009408D0" w:rsidP="009408D0">
            <w:pPr>
              <w:tabs>
                <w:tab w:val="left" w:pos="709"/>
                <w:tab w:val="left" w:pos="851"/>
                <w:tab w:val="left" w:pos="1559"/>
                <w:tab w:val="left" w:pos="2126"/>
                <w:tab w:val="left" w:pos="7229"/>
                <w:tab w:val="left" w:pos="7729"/>
              </w:tabs>
              <w:spacing w:line="276" w:lineRule="auto"/>
              <w:jc w:val="both"/>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262ACF">
              <w:rPr>
                <w:rFonts w:ascii="TH SarabunPSK" w:eastAsia="Calibri" w:hAnsi="TH SarabunPSK" w:cs="TH SarabunPSK"/>
                <w:color w:val="000000"/>
                <w:sz w:val="32"/>
                <w:szCs w:val="32"/>
              </w:rPr>
              <w:t xml:space="preserve">Colloquial Myanmar language with an emphasis on simple sentences and </w:t>
            </w:r>
            <w:r w:rsidRPr="00262ACF">
              <w:rPr>
                <w:rFonts w:ascii="TH SarabunPSK" w:eastAsia="Calibri" w:hAnsi="TH SarabunPSK" w:cs="TH SarabunPSK"/>
                <w:color w:val="000000"/>
                <w:sz w:val="32"/>
                <w:szCs w:val="32"/>
              </w:rPr>
              <w:lastRenderedPageBreak/>
              <w:t>everyday expressions. Study how to exchange information and to express ideas along with learning various aspects of Myanmar society and culture</w:t>
            </w:r>
            <w:r>
              <w:rPr>
                <w:rFonts w:ascii="TH SarabunPSK" w:eastAsia="Calibri" w:hAnsi="TH SarabunPSK" w:cs="TH SarabunPSK"/>
                <w:color w:val="000000"/>
                <w:sz w:val="32"/>
                <w:szCs w:val="32"/>
              </w:rPr>
              <w:t>.</w:t>
            </w:r>
          </w:p>
        </w:tc>
        <w:tc>
          <w:tcPr>
            <w:tcW w:w="1707"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9408D0" w:rsidTr="009408D0">
        <w:tc>
          <w:tcPr>
            <w:tcW w:w="1100" w:type="dxa"/>
          </w:tcPr>
          <w:p w:rsidR="00AB18D9" w:rsidRDefault="00AB18D9"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218141</w:t>
            </w:r>
          </w:p>
        </w:tc>
        <w:tc>
          <w:tcPr>
            <w:tcW w:w="253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cs/>
              </w:rPr>
              <w:t xml:space="preserve">การอ่านภาษาพม่า </w:t>
            </w:r>
            <w:r w:rsidRPr="00AB18D9">
              <w:rPr>
                <w:rFonts w:ascii="TH SarabunPSK" w:eastAsia="Calibri" w:hAnsi="TH SarabunPSK" w:cs="TH SarabunPSK"/>
                <w:color w:val="000000"/>
                <w:sz w:val="32"/>
                <w:szCs w:val="32"/>
              </w:rPr>
              <w:t>1</w:t>
            </w:r>
            <w:r w:rsidRPr="00AB18D9">
              <w:rPr>
                <w:rFonts w:ascii="TH SarabunPSK" w:eastAsia="Calibri" w:hAnsi="TH SarabunPSK" w:cs="TH SarabunPSK"/>
                <w:color w:val="000000"/>
                <w:sz w:val="32"/>
                <w:szCs w:val="32"/>
              </w:rPr>
              <w:tab/>
            </w:r>
          </w:p>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Myanmar Reading I</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9408D0" w:rsidRPr="00262ACF" w:rsidRDefault="009408D0" w:rsidP="009408D0">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 xml:space="preserve">    </w:t>
            </w:r>
            <w:r w:rsidRPr="00262ACF">
              <w:rPr>
                <w:rFonts w:ascii="TH SarabunPSK" w:eastAsia="Calibri" w:hAnsi="TH SarabunPSK" w:cs="TH SarabunPSK"/>
                <w:color w:val="000000"/>
                <w:sz w:val="32"/>
                <w:szCs w:val="32"/>
                <w:cs/>
              </w:rPr>
              <w:t>ทักษะและความชำนาญในการอ่านความเรียงภาษาพม่าในระดับพื้นฐาน</w:t>
            </w:r>
            <w:r w:rsidRPr="00262ACF">
              <w:rPr>
                <w:rFonts w:ascii="TH SarabunPSK" w:eastAsia="Calibri" w:hAnsi="TH SarabunPSK" w:cs="TH SarabunPSK"/>
                <w:color w:val="000000"/>
                <w:sz w:val="32"/>
                <w:szCs w:val="32"/>
              </w:rPr>
              <w:t xml:space="preserve"> </w:t>
            </w:r>
            <w:r w:rsidRPr="00262ACF">
              <w:rPr>
                <w:rFonts w:ascii="TH SarabunPSK" w:eastAsia="Calibri" w:hAnsi="TH SarabunPSK" w:cs="TH SarabunPSK"/>
                <w:color w:val="000000"/>
                <w:sz w:val="32"/>
                <w:szCs w:val="32"/>
                <w:cs/>
              </w:rPr>
              <w:t>ศึกษาการใช้ถ้อยคำ โวหาร และไวยากรณ์ที่ได้จากการอ่าน พร้อมการฝึกสรุปประเด็น</w:t>
            </w:r>
            <w:bookmarkStart w:id="0" w:name="_GoBack"/>
            <w:bookmarkEnd w:id="0"/>
          </w:p>
          <w:p w:rsidR="00AB18D9" w:rsidRDefault="009408D0" w:rsidP="009408D0">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262ACF">
              <w:rPr>
                <w:rFonts w:ascii="TH SarabunPSK" w:eastAsia="Calibri" w:hAnsi="TH SarabunPSK" w:cs="TH SarabunPSK"/>
                <w:color w:val="000000"/>
                <w:sz w:val="32"/>
                <w:szCs w:val="32"/>
              </w:rPr>
              <w:t>Reading skills through basic Myanmar texts. Study language usage in terms of statements, idioms, an</w:t>
            </w:r>
            <w:r>
              <w:rPr>
                <w:rFonts w:ascii="TH SarabunPSK" w:eastAsia="Calibri" w:hAnsi="TH SarabunPSK" w:cs="TH SarabunPSK"/>
                <w:color w:val="000000"/>
                <w:sz w:val="32"/>
                <w:szCs w:val="32"/>
              </w:rPr>
              <w:t>d grammar through reading ;</w:t>
            </w:r>
            <w:r w:rsidRPr="00262ACF">
              <w:rPr>
                <w:rFonts w:ascii="TH SarabunPSK" w:eastAsia="Calibri" w:hAnsi="TH SarabunPSK" w:cs="TH SarabunPSK"/>
                <w:color w:val="000000"/>
                <w:sz w:val="32"/>
                <w:szCs w:val="32"/>
              </w:rPr>
              <w:t xml:space="preserve"> making a summary</w:t>
            </w:r>
            <w:r>
              <w:rPr>
                <w:rFonts w:ascii="TH SarabunPSK" w:eastAsia="Calibri" w:hAnsi="TH SarabunPSK" w:cs="TH SarabunPSK"/>
                <w:color w:val="000000"/>
                <w:sz w:val="32"/>
                <w:szCs w:val="32"/>
              </w:rPr>
              <w:t>.</w:t>
            </w:r>
          </w:p>
        </w:tc>
        <w:tc>
          <w:tcPr>
            <w:tcW w:w="1707"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9408D0" w:rsidTr="009408D0">
        <w:tc>
          <w:tcPr>
            <w:tcW w:w="1100" w:type="dxa"/>
          </w:tcPr>
          <w:p w:rsidR="00AB18D9" w:rsidRDefault="00AB18D9"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218201</w:t>
            </w:r>
          </w:p>
        </w:tc>
        <w:tc>
          <w:tcPr>
            <w:tcW w:w="253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cs/>
              </w:rPr>
              <w:t>ภาษาพม่าเชิงสังคมและวัฒนธรรม</w:t>
            </w:r>
          </w:p>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Social and Cultural Aspects of Myanmar Language</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9408D0" w:rsidRPr="00262ACF" w:rsidRDefault="009408D0" w:rsidP="009408D0">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Pr>
                <w:rFonts w:ascii="TH SarabunPSK" w:eastAsia="Calibri" w:hAnsi="TH SarabunPSK" w:cs="TH SarabunPSK" w:hint="cs"/>
                <w:color w:val="000000"/>
                <w:spacing w:val="6"/>
                <w:sz w:val="32"/>
                <w:szCs w:val="32"/>
                <w:cs/>
              </w:rPr>
              <w:t xml:space="preserve">    </w:t>
            </w:r>
            <w:r w:rsidRPr="00262ACF">
              <w:rPr>
                <w:rFonts w:ascii="TH SarabunPSK" w:eastAsia="Calibri" w:hAnsi="TH SarabunPSK" w:cs="TH SarabunPSK"/>
                <w:color w:val="000000"/>
                <w:spacing w:val="6"/>
                <w:sz w:val="32"/>
                <w:szCs w:val="32"/>
                <w:cs/>
              </w:rPr>
              <w:t>ความสัมพันธ์ระหว่างภาษาพม่ากับสังคมและวัฒนธรรม</w:t>
            </w:r>
            <w:r w:rsidRPr="00262ACF">
              <w:rPr>
                <w:rFonts w:ascii="TH SarabunPSK" w:eastAsia="Calibri" w:hAnsi="TH SarabunPSK" w:cs="TH SarabunPSK"/>
                <w:color w:val="000000"/>
                <w:spacing w:val="6"/>
                <w:sz w:val="32"/>
                <w:szCs w:val="32"/>
                <w:rtl/>
                <w:cs/>
              </w:rPr>
              <w:t xml:space="preserve">  </w:t>
            </w:r>
            <w:r w:rsidRPr="00262ACF">
              <w:rPr>
                <w:rFonts w:ascii="TH SarabunPSK" w:eastAsia="Calibri" w:hAnsi="TH SarabunPSK" w:cs="TH SarabunPSK"/>
                <w:color w:val="000000"/>
                <w:spacing w:val="6"/>
                <w:sz w:val="32"/>
                <w:szCs w:val="32"/>
                <w:cs/>
              </w:rPr>
              <w:t>เพื่อการใช้ภาษาพม่าอย่าง</w:t>
            </w:r>
            <w:r w:rsidRPr="00262ACF">
              <w:rPr>
                <w:rFonts w:ascii="TH SarabunPSK" w:eastAsia="Calibri" w:hAnsi="TH SarabunPSK" w:cs="TH SarabunPSK"/>
                <w:color w:val="000000"/>
                <w:sz w:val="32"/>
                <w:szCs w:val="32"/>
                <w:cs/>
              </w:rPr>
              <w:t>ถูกต้องเหมาะสมกับกาลเทศะ</w:t>
            </w:r>
          </w:p>
          <w:p w:rsidR="00AB18D9" w:rsidRDefault="009408D0" w:rsidP="009408D0">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262ACF">
              <w:rPr>
                <w:rFonts w:ascii="TH SarabunPSK" w:eastAsia="Calibri" w:hAnsi="TH SarabunPSK" w:cs="TH SarabunPSK"/>
                <w:color w:val="000000"/>
                <w:sz w:val="32"/>
                <w:szCs w:val="32"/>
              </w:rPr>
              <w:t>The relation between Myanmar language and Myanmar society and culture</w:t>
            </w:r>
            <w:r>
              <w:rPr>
                <w:rFonts w:ascii="TH SarabunPSK" w:eastAsia="Calibri" w:hAnsi="TH SarabunPSK" w:cs="TH SarabunPSK" w:hint="cs"/>
                <w:color w:val="000000"/>
                <w:sz w:val="32"/>
                <w:szCs w:val="32"/>
                <w:cs/>
              </w:rPr>
              <w:t>.</w:t>
            </w:r>
            <w:r w:rsidRPr="00262ACF">
              <w:rPr>
                <w:rFonts w:ascii="TH SarabunPSK" w:eastAsia="Calibri" w:hAnsi="TH SarabunPSK" w:cs="TH SarabunPSK"/>
                <w:color w:val="000000"/>
                <w:sz w:val="32"/>
                <w:szCs w:val="32"/>
              </w:rPr>
              <w:t xml:space="preserve"> </w:t>
            </w:r>
            <w:r>
              <w:rPr>
                <w:rFonts w:ascii="TH SarabunPSK" w:eastAsia="Calibri" w:hAnsi="TH SarabunPSK" w:cs="TH SarabunPSK"/>
                <w:color w:val="000000"/>
                <w:sz w:val="32"/>
                <w:szCs w:val="32"/>
              </w:rPr>
              <w:t>Knowledge and ability to</w:t>
            </w:r>
            <w:r w:rsidRPr="00262ACF">
              <w:rPr>
                <w:rFonts w:ascii="TH SarabunPSK" w:eastAsia="Calibri" w:hAnsi="TH SarabunPSK" w:cs="TH SarabunPSK"/>
                <w:color w:val="000000"/>
                <w:sz w:val="32"/>
                <w:szCs w:val="32"/>
              </w:rPr>
              <w:t xml:space="preserve"> use appropriate level of Myanmar language for different situations</w:t>
            </w:r>
            <w:r>
              <w:rPr>
                <w:rFonts w:ascii="TH SarabunPSK" w:eastAsia="Calibri" w:hAnsi="TH SarabunPSK" w:cs="TH SarabunPSK"/>
                <w:color w:val="000000"/>
                <w:sz w:val="32"/>
                <w:szCs w:val="32"/>
              </w:rPr>
              <w:t>.</w:t>
            </w:r>
            <w:r>
              <w:rPr>
                <w:rFonts w:ascii="TH SarabunPSK" w:eastAsia="Calibri" w:hAnsi="TH SarabunPSK" w:cs="TH SarabunPSK" w:hint="cs"/>
                <w:color w:val="000000"/>
                <w:sz w:val="32"/>
                <w:szCs w:val="32"/>
              </w:rPr>
              <w:t xml:space="preserve"> </w:t>
            </w:r>
          </w:p>
        </w:tc>
        <w:tc>
          <w:tcPr>
            <w:tcW w:w="1707"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9408D0" w:rsidTr="009408D0">
        <w:tc>
          <w:tcPr>
            <w:tcW w:w="1100" w:type="dxa"/>
          </w:tcPr>
          <w:p w:rsidR="00AB18D9" w:rsidRDefault="00AB18D9"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218251</w:t>
            </w:r>
          </w:p>
        </w:tc>
        <w:tc>
          <w:tcPr>
            <w:tcW w:w="2538" w:type="dxa"/>
          </w:tcPr>
          <w:p w:rsidR="00AB18D9" w:rsidRDefault="00AB18D9" w:rsidP="00AB18D9">
            <w:pPr>
              <w:spacing w:line="276" w:lineRule="auto"/>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 xml:space="preserve">การเขียนภาษาพม่า </w:t>
            </w:r>
          </w:p>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Myanmar Writing I</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9408D0" w:rsidRPr="00262ACF" w:rsidRDefault="009408D0" w:rsidP="009408D0">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262ACF">
              <w:rPr>
                <w:rFonts w:ascii="TH SarabunPSK" w:eastAsia="Calibri" w:hAnsi="TH SarabunPSK" w:cs="TH SarabunPSK"/>
                <w:color w:val="000000"/>
                <w:sz w:val="32"/>
                <w:szCs w:val="32"/>
                <w:cs/>
              </w:rPr>
              <w:t xml:space="preserve">เขียนความเรียงภาษาพม่าเรียนรู้ถ้อยคำและคำทางไวยากรณ์ในรูปแบบของภาษาเขียนกึ่งรูปแบบ </w:t>
            </w:r>
          </w:p>
          <w:p w:rsidR="00AB18D9" w:rsidRDefault="009408D0" w:rsidP="009408D0">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lang w:val="x-none" w:eastAsia="x-none"/>
              </w:rPr>
              <w:t xml:space="preserve">     </w:t>
            </w:r>
            <w:r w:rsidRPr="00262ACF">
              <w:rPr>
                <w:rFonts w:ascii="TH SarabunPSK" w:eastAsia="Calibri" w:hAnsi="TH SarabunPSK" w:cs="TH SarabunPSK"/>
                <w:color w:val="000000"/>
                <w:sz w:val="32"/>
                <w:szCs w:val="32"/>
                <w:lang w:val="x-none" w:eastAsia="x-none"/>
              </w:rPr>
              <w:t>Writing essays in Myanmar language. Learn to use lexical and grammatical words used in colloquial Myanmar writing</w:t>
            </w:r>
            <w:r>
              <w:rPr>
                <w:rFonts w:ascii="TH SarabunPSK" w:eastAsia="Calibri" w:hAnsi="TH SarabunPSK" w:cs="TH SarabunPSK"/>
                <w:color w:val="000000"/>
                <w:sz w:val="32"/>
                <w:szCs w:val="32"/>
                <w:lang w:eastAsia="x-none"/>
              </w:rPr>
              <w:t>.</w:t>
            </w:r>
          </w:p>
        </w:tc>
        <w:tc>
          <w:tcPr>
            <w:tcW w:w="1707"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E5" w:rsidRDefault="006E56E5" w:rsidP="009408D0">
      <w:pPr>
        <w:spacing w:after="0" w:line="240" w:lineRule="auto"/>
      </w:pPr>
      <w:r>
        <w:separator/>
      </w:r>
    </w:p>
  </w:endnote>
  <w:endnote w:type="continuationSeparator" w:id="0">
    <w:p w:rsidR="006E56E5" w:rsidRDefault="006E56E5"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E5" w:rsidRDefault="006E56E5" w:rsidP="009408D0">
      <w:pPr>
        <w:spacing w:after="0" w:line="240" w:lineRule="auto"/>
      </w:pPr>
      <w:r>
        <w:separator/>
      </w:r>
    </w:p>
  </w:footnote>
  <w:footnote w:type="continuationSeparator" w:id="0">
    <w:p w:rsidR="006E56E5" w:rsidRDefault="006E56E5"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151CFD"/>
    <w:rsid w:val="00162406"/>
    <w:rsid w:val="001E077F"/>
    <w:rsid w:val="001F56F6"/>
    <w:rsid w:val="00262ACF"/>
    <w:rsid w:val="002A0CD7"/>
    <w:rsid w:val="00404924"/>
    <w:rsid w:val="00592947"/>
    <w:rsid w:val="005E6972"/>
    <w:rsid w:val="006E44B4"/>
    <w:rsid w:val="006E56E5"/>
    <w:rsid w:val="007214C9"/>
    <w:rsid w:val="00743C4F"/>
    <w:rsid w:val="007F55F5"/>
    <w:rsid w:val="0089458F"/>
    <w:rsid w:val="009408D0"/>
    <w:rsid w:val="009E04C7"/>
    <w:rsid w:val="00AB18D9"/>
    <w:rsid w:val="00AC5729"/>
    <w:rsid w:val="00BC7449"/>
    <w:rsid w:val="00D432BD"/>
    <w:rsid w:val="00E66977"/>
    <w:rsid w:val="00F0668C"/>
    <w:rsid w:val="00F86A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839C-EB8E-4C58-A5E1-A0D8CDA7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4</cp:revision>
  <cp:lastPrinted>2022-02-15T02:28:00Z</cp:lastPrinted>
  <dcterms:created xsi:type="dcterms:W3CDTF">2022-02-14T08:44:00Z</dcterms:created>
  <dcterms:modified xsi:type="dcterms:W3CDTF">2022-02-15T02:28:00Z</dcterms:modified>
</cp:coreProperties>
</file>